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EAC91CA"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743123">
        <w:rPr>
          <w:rFonts w:eastAsia="宋体"/>
          <w:b/>
          <w:bCs/>
          <w:sz w:val="28"/>
          <w:szCs w:val="28"/>
          <w:lang w:eastAsia="zh-CN"/>
        </w:rPr>
        <w:t>1</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785D7D">
        <w:rPr>
          <w:rFonts w:eastAsia="宋体"/>
          <w:b/>
          <w:bCs/>
          <w:sz w:val="28"/>
          <w:szCs w:val="28"/>
        </w:rPr>
        <w:t>22</w:t>
      </w:r>
      <w:r w:rsidR="004B23AB">
        <w:rPr>
          <w:rFonts w:eastAsia="宋体"/>
          <w:b/>
          <w:bCs/>
          <w:sz w:val="28"/>
          <w:szCs w:val="28"/>
        </w:rPr>
        <w:t>11298</w:t>
      </w:r>
    </w:p>
    <w:p w14:paraId="09209026" w14:textId="2C5157CF" w:rsidR="00743123" w:rsidRPr="003D7203" w:rsidRDefault="00743123" w:rsidP="00743123">
      <w:pPr>
        <w:tabs>
          <w:tab w:val="center" w:pos="4536"/>
          <w:tab w:val="right" w:pos="9072"/>
        </w:tabs>
        <w:rPr>
          <w:b/>
          <w:bCs/>
          <w:sz w:val="28"/>
          <w:szCs w:val="28"/>
        </w:rPr>
      </w:pPr>
      <w:r w:rsidRPr="007C1577">
        <w:rPr>
          <w:b/>
          <w:bCs/>
          <w:sz w:val="28"/>
          <w:szCs w:val="28"/>
        </w:rPr>
        <w:t>Toulouse</w:t>
      </w:r>
      <w:r>
        <w:rPr>
          <w:b/>
          <w:bCs/>
          <w:sz w:val="28"/>
          <w:szCs w:val="28"/>
        </w:rPr>
        <w:t>, France</w:t>
      </w:r>
      <w:r w:rsidRPr="003D7203">
        <w:rPr>
          <w:b/>
          <w:bCs/>
          <w:sz w:val="28"/>
          <w:szCs w:val="28"/>
        </w:rPr>
        <w:t xml:space="preserve">, </w:t>
      </w:r>
      <w:r>
        <w:rPr>
          <w:b/>
          <w:bCs/>
          <w:sz w:val="28"/>
          <w:szCs w:val="28"/>
        </w:rPr>
        <w:t xml:space="preserve">Nov </w:t>
      </w:r>
      <w:proofErr w:type="gramStart"/>
      <w:r>
        <w:rPr>
          <w:b/>
          <w:bCs/>
          <w:sz w:val="28"/>
          <w:szCs w:val="28"/>
        </w:rPr>
        <w:t>14</w:t>
      </w:r>
      <w:r>
        <w:rPr>
          <w:b/>
          <w:bCs/>
          <w:sz w:val="28"/>
          <w:szCs w:val="28"/>
          <w:vertAlign w:val="superscript"/>
        </w:rPr>
        <w:t>st</w:t>
      </w:r>
      <w:proofErr w:type="gramEnd"/>
      <w:r w:rsidRPr="003D7203">
        <w:rPr>
          <w:b/>
          <w:bCs/>
          <w:sz w:val="28"/>
          <w:szCs w:val="28"/>
        </w:rPr>
        <w:t xml:space="preserve"> – </w:t>
      </w:r>
      <w:r>
        <w:rPr>
          <w:b/>
          <w:bCs/>
          <w:sz w:val="28"/>
          <w:szCs w:val="28"/>
        </w:rPr>
        <w:t>Nov 18</w:t>
      </w:r>
      <w:r>
        <w:rPr>
          <w:b/>
          <w:bCs/>
          <w:sz w:val="28"/>
          <w:szCs w:val="28"/>
          <w:vertAlign w:val="superscript"/>
        </w:rPr>
        <w:t>st</w:t>
      </w:r>
      <w:r w:rsidRPr="003D7203">
        <w:rPr>
          <w:b/>
          <w:bCs/>
          <w:sz w:val="28"/>
          <w:szCs w:val="28"/>
        </w:rPr>
        <w:t xml:space="preserve">, </w:t>
      </w:r>
      <w:r>
        <w:rPr>
          <w:b/>
          <w:bCs/>
          <w:sz w:val="28"/>
          <w:szCs w:val="28"/>
        </w:rPr>
        <w:t>2022</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2199BB5B"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79BAC7D8"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5A7110">
            <w:pPr>
              <w:numPr>
                <w:ilvl w:val="0"/>
                <w:numId w:val="39"/>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5A7110">
            <w:pPr>
              <w:numPr>
                <w:ilvl w:val="0"/>
                <w:numId w:val="40"/>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5A7110">
            <w:pPr>
              <w:numPr>
                <w:ilvl w:val="1"/>
                <w:numId w:val="40"/>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5A7110">
            <w:pPr>
              <w:numPr>
                <w:ilvl w:val="0"/>
                <w:numId w:val="40"/>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5A7110">
            <w:pPr>
              <w:numPr>
                <w:ilvl w:val="0"/>
                <w:numId w:val="40"/>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5A7110">
            <w:pPr>
              <w:numPr>
                <w:ilvl w:val="2"/>
                <w:numId w:val="41"/>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359575BD"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743123">
        <w:rPr>
          <w:bCs/>
          <w:lang w:eastAsia="zh-CN"/>
        </w:rPr>
        <w:t>0b-e</w:t>
      </w:r>
      <w:r w:rsidR="00306A88">
        <w:rPr>
          <w:bCs/>
          <w:lang w:eastAsia="zh-CN"/>
        </w:rPr>
        <w:t>, the following agreements</w:t>
      </w:r>
      <w:r>
        <w:rPr>
          <w:bCs/>
          <w:lang w:eastAsia="zh-CN"/>
        </w:rPr>
        <w:t xml:space="preserve"> 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73DFE23C" w14:textId="77777777" w:rsidR="00743123" w:rsidRDefault="00743123" w:rsidP="00743123">
            <w:pPr>
              <w:shd w:val="clear" w:color="auto" w:fill="FFFFFF"/>
              <w:rPr>
                <w:rFonts w:eastAsia="MS PGothic"/>
                <w:color w:val="242424"/>
                <w:highlight w:val="green"/>
                <w:shd w:val="clear" w:color="auto" w:fill="FFFFFF"/>
              </w:rPr>
            </w:pPr>
            <w:r>
              <w:rPr>
                <w:rFonts w:eastAsia="MS PGothic"/>
                <w:b/>
                <w:bCs/>
                <w:color w:val="000000"/>
                <w:highlight w:val="green"/>
                <w:shd w:val="clear" w:color="auto" w:fill="FFFF00"/>
              </w:rPr>
              <w:t>Agreement</w:t>
            </w:r>
            <w:r>
              <w:rPr>
                <w:rFonts w:eastAsia="MS PGothic"/>
                <w:color w:val="242424"/>
                <w:highlight w:val="green"/>
                <w:shd w:val="clear" w:color="auto" w:fill="FFFFFF"/>
              </w:rPr>
              <w:t> </w:t>
            </w:r>
          </w:p>
          <w:p w14:paraId="6EF719B8" w14:textId="77777777" w:rsidR="00743123" w:rsidRDefault="00743123" w:rsidP="00743123">
            <w:pPr>
              <w:shd w:val="clear" w:color="auto" w:fill="FFFFFF"/>
              <w:rPr>
                <w:rFonts w:ascii="MS PGothic" w:eastAsia="MS PGothic" w:hAnsi="MS PGothic" w:cs="宋体"/>
                <w:color w:val="000000"/>
                <w:sz w:val="24"/>
                <w:szCs w:val="24"/>
              </w:rPr>
            </w:pPr>
            <w:r>
              <w:rPr>
                <w:rFonts w:eastAsia="MS PGothic"/>
                <w:color w:val="000000"/>
              </w:rPr>
              <w:t>Support TA acquisition of candidate cell(s) before cell switch command is received in L1/L2 based mobility.</w:t>
            </w:r>
          </w:p>
          <w:p w14:paraId="18A2A6DA" w14:textId="77777777" w:rsidR="00743123" w:rsidRDefault="00743123" w:rsidP="00743123">
            <w:pPr>
              <w:widowControl/>
              <w:shd w:val="clear" w:color="auto" w:fill="FFFFFF"/>
              <w:autoSpaceDE/>
              <w:autoSpaceDN/>
              <w:adjustRightInd/>
              <w:snapToGrid/>
              <w:spacing w:before="0" w:after="0" w:line="240" w:lineRule="auto"/>
              <w:ind w:left="720"/>
              <w:jc w:val="left"/>
              <w:rPr>
                <w:rFonts w:ascii="MS PGothic" w:eastAsia="MS PGothic" w:hAnsi="MS PGothic" w:cs="宋体"/>
                <w:sz w:val="24"/>
              </w:rPr>
            </w:pPr>
            <w:r>
              <w:rPr>
                <w:rFonts w:eastAsia="MS PGothic"/>
              </w:rPr>
              <w:t xml:space="preserve">FFS: whether this can be applied to candidate cell when it is deactivated </w:t>
            </w:r>
            <w:proofErr w:type="spellStart"/>
            <w:r>
              <w:rPr>
                <w:rFonts w:eastAsia="MS PGothic"/>
              </w:rPr>
              <w:t>SCell</w:t>
            </w:r>
            <w:proofErr w:type="spellEnd"/>
            <w:r>
              <w:rPr>
                <w:rFonts w:eastAsia="MS PGothic"/>
              </w:rPr>
              <w:t xml:space="preserve"> (if defined in RAN2)</w:t>
            </w:r>
          </w:p>
          <w:p w14:paraId="32E7A82D" w14:textId="77777777" w:rsidR="00743123" w:rsidRDefault="00743123" w:rsidP="00743123">
            <w:pPr>
              <w:shd w:val="clear" w:color="auto" w:fill="FFFFFF"/>
              <w:rPr>
                <w:rFonts w:eastAsia="MS PGothic"/>
                <w:color w:val="1F497D"/>
              </w:rPr>
            </w:pPr>
            <w:r>
              <w:rPr>
                <w:rFonts w:eastAsia="MS PGothic"/>
                <w:color w:val="1F497D"/>
              </w:rPr>
              <w:lastRenderedPageBreak/>
              <w:t> </w:t>
            </w:r>
          </w:p>
          <w:p w14:paraId="7C2B9BEA" w14:textId="77777777" w:rsidR="00743123" w:rsidRPr="0052396E" w:rsidRDefault="00743123" w:rsidP="00743123">
            <w:pPr>
              <w:shd w:val="clear" w:color="auto" w:fill="FFFFFF"/>
              <w:rPr>
                <w:rFonts w:eastAsia="MS PGothic"/>
                <w:color w:val="000000"/>
                <w:highlight w:val="green"/>
              </w:rPr>
            </w:pPr>
            <w:r w:rsidRPr="0052396E">
              <w:rPr>
                <w:rFonts w:eastAsia="MS PGothic"/>
                <w:b/>
                <w:bCs/>
                <w:color w:val="000000"/>
                <w:highlight w:val="green"/>
                <w:shd w:val="clear" w:color="auto" w:fill="FFFF00"/>
              </w:rPr>
              <w:t>Agreement</w:t>
            </w:r>
          </w:p>
          <w:p w14:paraId="30094A7B" w14:textId="77777777" w:rsidR="00743123" w:rsidRDefault="00743123" w:rsidP="00743123">
            <w:pPr>
              <w:shd w:val="clear" w:color="auto" w:fill="FFFFFF"/>
              <w:rPr>
                <w:rFonts w:ascii="MS PGothic" w:eastAsia="MS PGothic" w:hAnsi="MS PGothic" w:cs="宋体"/>
                <w:color w:val="000000"/>
                <w:sz w:val="24"/>
                <w:szCs w:val="24"/>
              </w:rPr>
            </w:pPr>
            <w:r>
              <w:rPr>
                <w:rFonts w:eastAsia="MS PGothic"/>
                <w:color w:val="000000"/>
              </w:rPr>
              <w:t>On mechanism to acquire TA of the candidate cells, the following solutions can be further studied:</w:t>
            </w:r>
          </w:p>
          <w:p w14:paraId="6F7B2EDE" w14:textId="64330547" w:rsidR="00743123" w:rsidRDefault="00743123" w:rsidP="00743123">
            <w:pPr>
              <w:shd w:val="clear" w:color="auto" w:fill="FFFFFF"/>
              <w:spacing w:before="100" w:beforeAutospacing="1" w:line="252" w:lineRule="atLeast"/>
              <w:ind w:left="420" w:hanging="420"/>
              <w:rPr>
                <w:rFonts w:ascii="Calibri" w:eastAsia="宋体" w:hAnsi="Calibri" w:cs="Calibri"/>
                <w:color w:val="000000"/>
              </w:rPr>
            </w:pPr>
            <w:r>
              <w:rPr>
                <w:rFonts w:eastAsia="宋体"/>
                <w:color w:val="000000"/>
              </w:rPr>
              <w:t>         RACH-based solutions</w:t>
            </w:r>
          </w:p>
          <w:p w14:paraId="63C1E0D9" w14:textId="77777777" w:rsidR="00743123" w:rsidRDefault="00743123" w:rsidP="00743123">
            <w:pPr>
              <w:shd w:val="clear" w:color="auto" w:fill="FFFFFF"/>
              <w:ind w:firstLine="660"/>
              <w:rPr>
                <w:rFonts w:ascii="MS PGothic" w:eastAsia="MS PGothic" w:hAnsi="MS PGothic" w:cs="宋体"/>
                <w:color w:val="000000"/>
                <w:sz w:val="24"/>
                <w:szCs w:val="24"/>
              </w:rPr>
            </w:pPr>
            <w:r>
              <w:rPr>
                <w:rFonts w:eastAsia="MS PGothic"/>
                <w:color w:val="000000"/>
              </w:rPr>
              <w:t xml:space="preserve">e.g., PDCCH ordered RACH, UE-triggered RACH, higher layer triggered RACH from NW other than L3 HO </w:t>
            </w:r>
            <w:proofErr w:type="spellStart"/>
            <w:r>
              <w:rPr>
                <w:rFonts w:eastAsia="MS PGothic"/>
                <w:color w:val="000000"/>
              </w:rPr>
              <w:t>cmd</w:t>
            </w:r>
            <w:proofErr w:type="spellEnd"/>
          </w:p>
          <w:p w14:paraId="1FDBDBBF" w14:textId="145E6244" w:rsidR="00743123" w:rsidRDefault="00743123" w:rsidP="00743123">
            <w:pPr>
              <w:shd w:val="clear" w:color="auto" w:fill="FFFFFF"/>
              <w:spacing w:before="100" w:beforeAutospacing="1" w:line="252" w:lineRule="atLeast"/>
              <w:ind w:left="420" w:hanging="420"/>
              <w:rPr>
                <w:rFonts w:ascii="Calibri" w:eastAsia="宋体" w:hAnsi="Calibri" w:cs="Calibri"/>
                <w:color w:val="000000"/>
              </w:rPr>
            </w:pPr>
            <w:r>
              <w:rPr>
                <w:rFonts w:eastAsia="宋体"/>
                <w:color w:val="000000"/>
              </w:rPr>
              <w:t>         RACH-less solutions</w:t>
            </w:r>
          </w:p>
          <w:p w14:paraId="5089EBFA" w14:textId="77777777" w:rsidR="00743123" w:rsidRDefault="00743123" w:rsidP="00743123">
            <w:pPr>
              <w:shd w:val="clear" w:color="auto" w:fill="FFFFFF"/>
              <w:ind w:firstLine="660"/>
              <w:rPr>
                <w:rFonts w:ascii="MS PGothic" w:eastAsia="MS PGothic" w:hAnsi="MS PGothic" w:cs="宋体"/>
                <w:color w:val="000000"/>
                <w:sz w:val="24"/>
                <w:szCs w:val="24"/>
              </w:rPr>
            </w:pPr>
            <w:r>
              <w:rPr>
                <w:rFonts w:eastAsia="MS PGothic"/>
                <w:color w:val="000000"/>
              </w:rPr>
              <w:t>e.g., SRS based TA acquisition, Rx timing difference based, RACH-less mechanism as in LTE, UE based TA measurement (including UE based TA measurement with one TAC from serving cell)</w:t>
            </w:r>
          </w:p>
          <w:p w14:paraId="562EBB7F" w14:textId="77777777" w:rsidR="00743123" w:rsidRDefault="00743123" w:rsidP="00743123">
            <w:pPr>
              <w:shd w:val="clear" w:color="auto" w:fill="FFFFFF"/>
              <w:rPr>
                <w:rFonts w:ascii="MS PGothic" w:eastAsia="MS PGothic" w:hAnsi="MS PGothic" w:cs="宋体"/>
                <w:color w:val="000000"/>
                <w:sz w:val="24"/>
              </w:rPr>
            </w:pPr>
            <w:r>
              <w:rPr>
                <w:rFonts w:eastAsia="MS PGothic"/>
                <w:color w:val="1F497D"/>
              </w:rPr>
              <w:t> </w:t>
            </w:r>
          </w:p>
          <w:p w14:paraId="59DBE3A2" w14:textId="77777777" w:rsidR="00743123" w:rsidRPr="0052396E" w:rsidRDefault="00743123" w:rsidP="00743123">
            <w:pPr>
              <w:shd w:val="clear" w:color="auto" w:fill="FFFFFF"/>
              <w:rPr>
                <w:rFonts w:eastAsia="MS PGothic"/>
                <w:b/>
                <w:bCs/>
                <w:color w:val="000000"/>
                <w:highlight w:val="green"/>
              </w:rPr>
            </w:pPr>
            <w:r w:rsidRPr="0052396E">
              <w:rPr>
                <w:rFonts w:eastAsia="MS PGothic"/>
                <w:b/>
                <w:bCs/>
                <w:color w:val="000000"/>
                <w:highlight w:val="green"/>
              </w:rPr>
              <w:t>Agreement</w:t>
            </w:r>
          </w:p>
          <w:p w14:paraId="63B8984A" w14:textId="77777777" w:rsidR="00743123" w:rsidRDefault="00743123" w:rsidP="00743123">
            <w:pPr>
              <w:shd w:val="clear" w:color="auto" w:fill="FFFFFF"/>
              <w:rPr>
                <w:rFonts w:eastAsia="MS PGothic"/>
                <w:color w:val="000000"/>
              </w:rPr>
            </w:pPr>
            <w:r>
              <w:rPr>
                <w:rFonts w:eastAsia="MS PGothic"/>
                <w:color w:val="000000"/>
              </w:rPr>
              <w:t>For TA acquisition of a candidate cell before cell switch command is received, study at least the following alternatives of associating TA/TAG to candidate cell:</w:t>
            </w:r>
          </w:p>
          <w:p w14:paraId="3BB731F0" w14:textId="77777777" w:rsidR="00743123" w:rsidRDefault="00743123" w:rsidP="00743123">
            <w:pPr>
              <w:widowControl/>
              <w:shd w:val="clear" w:color="auto" w:fill="FFFFFF"/>
              <w:autoSpaceDE/>
              <w:autoSpaceDN/>
              <w:adjustRightInd/>
              <w:snapToGrid/>
              <w:spacing w:before="0" w:after="0" w:line="252" w:lineRule="atLeast"/>
              <w:ind w:left="420"/>
              <w:jc w:val="left"/>
              <w:rPr>
                <w:rFonts w:ascii="MS PGothic" w:eastAsia="MS PGothic" w:hAnsi="MS PGothic" w:cs="宋体"/>
                <w:color w:val="000000"/>
                <w:sz w:val="24"/>
                <w:szCs w:val="24"/>
              </w:rPr>
            </w:pPr>
            <w:r>
              <w:rPr>
                <w:rFonts w:eastAsia="MS PGothic"/>
                <w:color w:val="000000"/>
              </w:rPr>
              <w:t>Alt1: Associate TA/TAG and candidate cell implicitly, e.g.,</w:t>
            </w:r>
          </w:p>
          <w:p w14:paraId="7E03A2F8" w14:textId="77777777" w:rsidR="00743123" w:rsidRDefault="00743123" w:rsidP="00743123">
            <w:pPr>
              <w:widowControl/>
              <w:numPr>
                <w:ilvl w:val="0"/>
                <w:numId w:val="46"/>
              </w:numPr>
              <w:shd w:val="clear" w:color="auto" w:fill="FFFFFF"/>
              <w:autoSpaceDE/>
              <w:autoSpaceDN/>
              <w:adjustRightInd/>
              <w:snapToGrid/>
              <w:spacing w:before="0" w:after="0" w:line="240" w:lineRule="auto"/>
              <w:jc w:val="left"/>
              <w:rPr>
                <w:rFonts w:eastAsia="MS PGothic"/>
                <w:color w:val="000000"/>
              </w:rPr>
            </w:pPr>
            <w:r>
              <w:rPr>
                <w:rFonts w:eastAsia="MS PGothic"/>
                <w:color w:val="000000"/>
              </w:rPr>
              <w:t>the association between TA/TAG and TCI states can be configured</w:t>
            </w:r>
          </w:p>
          <w:p w14:paraId="6C8FFBAD" w14:textId="77777777" w:rsidR="00743123" w:rsidRDefault="00743123" w:rsidP="00743123">
            <w:pPr>
              <w:widowControl/>
              <w:shd w:val="clear" w:color="auto" w:fill="FFFFFF"/>
              <w:autoSpaceDE/>
              <w:autoSpaceDN/>
              <w:adjustRightInd/>
              <w:snapToGrid/>
              <w:spacing w:before="0" w:after="0" w:line="252" w:lineRule="atLeast"/>
              <w:ind w:left="420"/>
              <w:jc w:val="left"/>
              <w:rPr>
                <w:rFonts w:ascii="MS PGothic" w:eastAsia="MS PGothic" w:hAnsi="MS PGothic" w:cs="宋体"/>
                <w:color w:val="000000"/>
                <w:sz w:val="24"/>
                <w:szCs w:val="24"/>
              </w:rPr>
            </w:pPr>
            <w:r>
              <w:rPr>
                <w:rFonts w:eastAsia="MS PGothic"/>
                <w:color w:val="000000"/>
              </w:rPr>
              <w:t>Alt2: Associate TA/TAG and candidate cell explicitly, e.g.,</w:t>
            </w:r>
          </w:p>
          <w:p w14:paraId="6AB71827" w14:textId="77777777" w:rsidR="00743123" w:rsidRDefault="00743123" w:rsidP="00743123">
            <w:pPr>
              <w:widowControl/>
              <w:numPr>
                <w:ilvl w:val="0"/>
                <w:numId w:val="46"/>
              </w:numPr>
              <w:shd w:val="clear" w:color="auto" w:fill="FFFFFF"/>
              <w:autoSpaceDE/>
              <w:autoSpaceDN/>
              <w:adjustRightInd/>
              <w:snapToGrid/>
              <w:spacing w:before="0" w:after="0" w:line="240" w:lineRule="auto"/>
              <w:jc w:val="left"/>
              <w:rPr>
                <w:rFonts w:eastAsia="MS PGothic"/>
                <w:color w:val="000000"/>
              </w:rPr>
            </w:pPr>
            <w:r>
              <w:rPr>
                <w:rFonts w:eastAsia="MS PGothic"/>
                <w:color w:val="000000"/>
              </w:rPr>
              <w:t>the association is provided as a part of candidate cell(s) configuration</w:t>
            </w:r>
          </w:p>
          <w:p w14:paraId="0D267733" w14:textId="77777777" w:rsidR="00743123" w:rsidRDefault="00743123" w:rsidP="00743123">
            <w:pPr>
              <w:widowControl/>
              <w:numPr>
                <w:ilvl w:val="0"/>
                <w:numId w:val="46"/>
              </w:numPr>
              <w:shd w:val="clear" w:color="auto" w:fill="FFFFFF"/>
              <w:autoSpaceDE/>
              <w:autoSpaceDN/>
              <w:adjustRightInd/>
              <w:snapToGrid/>
              <w:spacing w:before="0" w:after="0" w:line="240" w:lineRule="auto"/>
              <w:jc w:val="left"/>
              <w:rPr>
                <w:rFonts w:eastAsia="MS PGothic"/>
                <w:color w:val="000000"/>
              </w:rPr>
            </w:pPr>
            <w:r>
              <w:rPr>
                <w:rFonts w:eastAsia="MS PGothic"/>
                <w:color w:val="000000"/>
              </w:rPr>
              <w:t>the association between TA/TAG and SSB(s)/TRS(s) is provided as a part of candidate cell(s) configuration</w:t>
            </w:r>
          </w:p>
          <w:p w14:paraId="10F00193" w14:textId="77777777" w:rsidR="00306A88" w:rsidRPr="00743123" w:rsidRDefault="00306A88" w:rsidP="00743123">
            <w:pPr>
              <w:pStyle w:val="Agreement"/>
              <w:numPr>
                <w:ilvl w:val="0"/>
                <w:numId w:val="0"/>
              </w:numPr>
              <w:rPr>
                <w:bCs/>
                <w:lang w:val="en-US" w:eastAsia="zh-CN"/>
              </w:rPr>
            </w:pPr>
          </w:p>
        </w:tc>
      </w:tr>
    </w:tbl>
    <w:p w14:paraId="2E57FC7B" w14:textId="77777777" w:rsidR="00306A88" w:rsidRPr="00306A88" w:rsidRDefault="00306A88" w:rsidP="00BD59D3">
      <w:pPr>
        <w:spacing w:beforeLines="50" w:before="120" w:after="0"/>
        <w:rPr>
          <w:bCs/>
          <w:lang w:eastAsia="zh-CN"/>
        </w:rPr>
      </w:pPr>
    </w:p>
    <w:p w14:paraId="652D8664" w14:textId="253AA41C" w:rsidR="00E35921" w:rsidRPr="000B69E8" w:rsidRDefault="00E35921" w:rsidP="000B69E8">
      <w:pPr>
        <w:spacing w:beforeLines="50" w:before="120" w:after="0"/>
        <w:rPr>
          <w:bCs/>
        </w:rPr>
      </w:pPr>
      <w:r>
        <w:rPr>
          <w:bCs/>
        </w:rPr>
        <w:t xml:space="preserve">In this contribution, we provide our </w:t>
      </w:r>
      <w:r w:rsidR="00C20E71">
        <w:rPr>
          <w:bCs/>
        </w:rPr>
        <w:t>understanding</w:t>
      </w:r>
      <w:r w:rsidR="00743123">
        <w:rPr>
          <w:bCs/>
        </w:rPr>
        <w:t xml:space="preserve"> on</w:t>
      </w:r>
      <w:r>
        <w:rPr>
          <w:bCs/>
        </w:rPr>
        <w:t xml:space="preserve"> </w:t>
      </w:r>
      <w:r w:rsidR="00A43449">
        <w:rPr>
          <w:bCs/>
        </w:rPr>
        <w:t xml:space="preserve">TA management for L1/L2 </w:t>
      </w:r>
      <w:r w:rsidR="0052396E">
        <w:rPr>
          <w:bCs/>
        </w:rPr>
        <w:t>based</w:t>
      </w:r>
      <w:r w:rsidR="00A43449">
        <w:rPr>
          <w:bCs/>
        </w:rPr>
        <w:t xml:space="preserve"> mobility</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50C61A69" w14:textId="3DF13A37" w:rsidR="004A68C7" w:rsidRDefault="00215965" w:rsidP="00A800D3">
      <w:pPr>
        <w:spacing w:after="0"/>
        <w:rPr>
          <w:bCs/>
          <w:lang w:eastAsia="zh-CN"/>
        </w:rPr>
      </w:pPr>
      <w:r>
        <w:rPr>
          <w:bCs/>
          <w:lang w:eastAsia="zh-CN"/>
        </w:rPr>
        <w:t xml:space="preserve">In Rel-17, each serving cell is configured </w:t>
      </w:r>
      <w:r w:rsidR="0052396E">
        <w:rPr>
          <w:bCs/>
          <w:lang w:eastAsia="zh-CN"/>
        </w:rPr>
        <w:t>with</w:t>
      </w:r>
      <w:r>
        <w:rPr>
          <w:bCs/>
          <w:lang w:eastAsia="zh-CN"/>
        </w:rPr>
        <w:t xml:space="preserve"> a TAG to maintain a TA for </w:t>
      </w:r>
      <w:r w:rsidR="0052396E">
        <w:rPr>
          <w:bCs/>
          <w:lang w:eastAsia="zh-CN"/>
        </w:rPr>
        <w:t>UL</w:t>
      </w:r>
      <w:r>
        <w:rPr>
          <w:bCs/>
          <w:lang w:eastAsia="zh-CN"/>
        </w:rPr>
        <w:t xml:space="preserve"> transmission</w:t>
      </w:r>
      <w:r w:rsidR="00551442">
        <w:rPr>
          <w:bCs/>
          <w:lang w:eastAsia="zh-CN"/>
        </w:rPr>
        <w:t xml:space="preserve">. </w:t>
      </w:r>
      <w:r w:rsidR="00A504C6">
        <w:rPr>
          <w:bCs/>
          <w:lang w:eastAsia="zh-CN"/>
        </w:rPr>
        <w:t>F</w:t>
      </w:r>
      <w:r w:rsidR="00551442">
        <w:rPr>
          <w:bCs/>
          <w:lang w:eastAsia="zh-CN"/>
        </w:rPr>
        <w:t>or a UE in multi-TRP scenario</w:t>
      </w:r>
      <w:r w:rsidR="00A504C6">
        <w:rPr>
          <w:bCs/>
          <w:lang w:eastAsia="zh-CN"/>
        </w:rPr>
        <w:t>,</w:t>
      </w:r>
      <w:r w:rsidR="00551442">
        <w:rPr>
          <w:bCs/>
          <w:lang w:eastAsia="zh-CN"/>
        </w:rPr>
        <w:t xml:space="preserve"> </w:t>
      </w:r>
      <w:r w:rsidR="00A504C6">
        <w:rPr>
          <w:bCs/>
          <w:lang w:eastAsia="zh-CN"/>
        </w:rPr>
        <w:t>two TA</w:t>
      </w:r>
      <w:r w:rsidR="00C01C13">
        <w:rPr>
          <w:bCs/>
          <w:lang w:eastAsia="zh-CN"/>
        </w:rPr>
        <w:t xml:space="preserve"> values</w:t>
      </w:r>
      <w:r w:rsidR="00A504C6">
        <w:rPr>
          <w:bCs/>
          <w:lang w:eastAsia="zh-CN"/>
        </w:rPr>
        <w:t xml:space="preserve"> can be maintained </w:t>
      </w:r>
      <w:r w:rsidR="00551442">
        <w:rPr>
          <w:bCs/>
          <w:lang w:eastAsia="zh-CN"/>
        </w:rPr>
        <w:t xml:space="preserve">by configured two TAGs </w:t>
      </w:r>
      <w:r w:rsidR="00A504C6">
        <w:rPr>
          <w:bCs/>
          <w:lang w:eastAsia="zh-CN"/>
        </w:rPr>
        <w:t xml:space="preserve">in </w:t>
      </w:r>
      <w:r w:rsidR="00551442">
        <w:rPr>
          <w:bCs/>
          <w:lang w:eastAsia="zh-CN"/>
        </w:rPr>
        <w:t>a serving cell</w:t>
      </w:r>
      <w:r w:rsidR="00C369D9">
        <w:rPr>
          <w:bCs/>
          <w:lang w:eastAsia="zh-CN"/>
        </w:rPr>
        <w:t xml:space="preserve"> in Rel-18</w:t>
      </w:r>
      <w:r w:rsidR="00401A5C">
        <w:rPr>
          <w:bCs/>
          <w:lang w:eastAsia="zh-CN"/>
        </w:rPr>
        <w:t xml:space="preserve">. </w:t>
      </w:r>
      <w:r w:rsidR="00080F02">
        <w:rPr>
          <w:bCs/>
          <w:lang w:eastAsia="zh-CN"/>
        </w:rPr>
        <w:t>O</w:t>
      </w:r>
      <w:r w:rsidR="008075DD">
        <w:rPr>
          <w:bCs/>
          <w:lang w:eastAsia="zh-CN"/>
        </w:rPr>
        <w:t xml:space="preserve">ne or more candidate cells may be configured for the UE for L1/L2 </w:t>
      </w:r>
      <w:r w:rsidR="0052396E">
        <w:rPr>
          <w:bCs/>
          <w:lang w:eastAsia="zh-CN"/>
        </w:rPr>
        <w:t>based</w:t>
      </w:r>
      <w:r w:rsidR="008075DD">
        <w:rPr>
          <w:bCs/>
          <w:lang w:eastAsia="zh-CN"/>
        </w:rPr>
        <w:t xml:space="preserve"> mobility</w:t>
      </w:r>
      <w:r w:rsidR="00B64035">
        <w:rPr>
          <w:bCs/>
          <w:lang w:eastAsia="zh-CN"/>
        </w:rPr>
        <w:t xml:space="preserve">. In this case, each candidate cell can be associated with </w:t>
      </w:r>
      <w:r w:rsidR="00E6045B">
        <w:rPr>
          <w:bCs/>
          <w:lang w:eastAsia="zh-CN"/>
        </w:rPr>
        <w:t>one or two</w:t>
      </w:r>
      <w:r w:rsidR="00B64035">
        <w:rPr>
          <w:bCs/>
          <w:lang w:eastAsia="zh-CN"/>
        </w:rPr>
        <w:t xml:space="preserve"> TAG</w:t>
      </w:r>
      <w:r w:rsidR="00501C5D">
        <w:rPr>
          <w:bCs/>
          <w:lang w:eastAsia="zh-CN"/>
        </w:rPr>
        <w:t>s</w:t>
      </w:r>
      <w:r w:rsidR="004D3506">
        <w:rPr>
          <w:bCs/>
          <w:lang w:eastAsia="zh-CN"/>
        </w:rPr>
        <w:t xml:space="preserve">. </w:t>
      </w:r>
      <w:r w:rsidR="00DF6CC5">
        <w:rPr>
          <w:bCs/>
          <w:lang w:eastAsia="zh-CN"/>
        </w:rPr>
        <w:t>The association between candidate cells and TAGs can be implicit or explicit</w:t>
      </w:r>
      <w:r w:rsidR="002E2D82">
        <w:rPr>
          <w:bCs/>
          <w:lang w:eastAsia="zh-CN"/>
        </w:rPr>
        <w:t xml:space="preserve">. It </w:t>
      </w:r>
      <w:r w:rsidR="00C01C13">
        <w:rPr>
          <w:bCs/>
          <w:lang w:eastAsia="zh-CN"/>
        </w:rPr>
        <w:t>is</w:t>
      </w:r>
      <w:r w:rsidR="002E2D82">
        <w:rPr>
          <w:bCs/>
          <w:lang w:eastAsia="zh-CN"/>
        </w:rPr>
        <w:t xml:space="preserve"> noted that the serving cell is explicitly associated with one or two TAGs (</w:t>
      </w:r>
      <w:r w:rsidR="00E12B81">
        <w:rPr>
          <w:bCs/>
          <w:lang w:eastAsia="zh-CN"/>
        </w:rPr>
        <w:t xml:space="preserve">the latter according to </w:t>
      </w:r>
      <w:r w:rsidR="002E2D82">
        <w:rPr>
          <w:bCs/>
          <w:lang w:eastAsia="zh-CN"/>
        </w:rPr>
        <w:t>M-DCI based M-TRP scenario in Rel-18)</w:t>
      </w:r>
      <w:r w:rsidR="00E12B81">
        <w:rPr>
          <w:bCs/>
          <w:lang w:eastAsia="zh-CN"/>
        </w:rPr>
        <w:t>.</w:t>
      </w:r>
      <w:r w:rsidR="002E2D82">
        <w:rPr>
          <w:bCs/>
          <w:lang w:eastAsia="zh-CN"/>
        </w:rPr>
        <w:t xml:space="preserve"> </w:t>
      </w:r>
      <w:r w:rsidR="00E12B81">
        <w:rPr>
          <w:bCs/>
          <w:lang w:eastAsia="zh-CN"/>
        </w:rPr>
        <w:t>T</w:t>
      </w:r>
      <w:r w:rsidR="002E2D82">
        <w:rPr>
          <w:bCs/>
          <w:lang w:eastAsia="zh-CN"/>
        </w:rPr>
        <w:t>herefore</w:t>
      </w:r>
      <w:r w:rsidR="00DF6CC5">
        <w:rPr>
          <w:bCs/>
          <w:lang w:eastAsia="zh-CN"/>
        </w:rPr>
        <w:t xml:space="preserve">, </w:t>
      </w:r>
      <w:r w:rsidR="002E2D82">
        <w:rPr>
          <w:bCs/>
          <w:lang w:eastAsia="zh-CN"/>
        </w:rPr>
        <w:t>a</w:t>
      </w:r>
      <w:r w:rsidR="00DF6CC5">
        <w:rPr>
          <w:bCs/>
          <w:lang w:eastAsia="zh-CN"/>
        </w:rPr>
        <w:t>ssociat</w:t>
      </w:r>
      <w:r w:rsidR="002E2D82">
        <w:rPr>
          <w:bCs/>
          <w:lang w:eastAsia="zh-CN"/>
        </w:rPr>
        <w:t>ing TAG</w:t>
      </w:r>
      <w:r w:rsidR="0052396E">
        <w:rPr>
          <w:bCs/>
          <w:lang w:eastAsia="zh-CN"/>
        </w:rPr>
        <w:t xml:space="preserve"> to each</w:t>
      </w:r>
      <w:r w:rsidR="002E2D82">
        <w:rPr>
          <w:bCs/>
          <w:lang w:eastAsia="zh-CN"/>
        </w:rPr>
        <w:t xml:space="preserve"> candidate cell explicitly</w:t>
      </w:r>
      <w:r w:rsidR="00DF6CC5">
        <w:rPr>
          <w:bCs/>
          <w:lang w:eastAsia="zh-CN"/>
        </w:rPr>
        <w:t xml:space="preserve"> is </w:t>
      </w:r>
      <w:proofErr w:type="gramStart"/>
      <w:r w:rsidR="00DF6CC5">
        <w:rPr>
          <w:bCs/>
          <w:lang w:eastAsia="zh-CN"/>
        </w:rPr>
        <w:t>more straightforward and simple</w:t>
      </w:r>
      <w:proofErr w:type="gramEnd"/>
      <w:r w:rsidR="00DF6CC5">
        <w:rPr>
          <w:bCs/>
          <w:lang w:eastAsia="zh-CN"/>
        </w:rPr>
        <w:t xml:space="preserve"> where the specification impact is less.</w:t>
      </w:r>
      <w:r w:rsidR="002E2D82">
        <w:rPr>
          <w:bCs/>
          <w:lang w:eastAsia="zh-CN"/>
        </w:rPr>
        <w:t xml:space="preserve"> Therefore, we propose that:</w:t>
      </w:r>
    </w:p>
    <w:p w14:paraId="53C8302D" w14:textId="00DAFE7B" w:rsidR="00E763E7" w:rsidRPr="00425DD3" w:rsidRDefault="002E2D82"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3" w:name="_Toc111041228"/>
      <w:bookmarkStart w:id="4" w:name="_Toc111108566"/>
      <w:bookmarkStart w:id="5" w:name="_Toc115098538"/>
      <w:bookmarkStart w:id="6" w:name="_Toc115098560"/>
      <w:bookmarkStart w:id="7" w:name="_Toc115183361"/>
      <w:r>
        <w:rPr>
          <w:i/>
          <w:iCs/>
          <w:lang w:eastAsia="zh-CN"/>
        </w:rPr>
        <w:t>Support to associate TAG and candidate cell explicitly</w:t>
      </w:r>
      <w:r w:rsidR="00E763E7">
        <w:rPr>
          <w:i/>
          <w:iCs/>
          <w:lang w:eastAsia="zh-CN"/>
        </w:rPr>
        <w:t>.</w:t>
      </w:r>
      <w:bookmarkEnd w:id="3"/>
      <w:bookmarkEnd w:id="4"/>
      <w:bookmarkEnd w:id="5"/>
      <w:bookmarkEnd w:id="6"/>
      <w:bookmarkEnd w:id="7"/>
    </w:p>
    <w:p w14:paraId="16C089ED" w14:textId="6A533222" w:rsidR="001D43D5" w:rsidRDefault="001D43D5" w:rsidP="001D43D5">
      <w:pPr>
        <w:spacing w:after="0"/>
        <w:rPr>
          <w:bCs/>
        </w:rPr>
      </w:pPr>
      <w:bookmarkStart w:id="8" w:name="_Toc115098539"/>
      <w:r>
        <w:rPr>
          <w:bCs/>
        </w:rPr>
        <w:t>For TA acqui</w:t>
      </w:r>
      <w:r w:rsidR="00E12B81">
        <w:rPr>
          <w:bCs/>
        </w:rPr>
        <w:t>sition</w:t>
      </w:r>
      <w:r>
        <w:rPr>
          <w:bCs/>
        </w:rPr>
        <w:t xml:space="preserve"> of candidate cells, RACH-based solution and RACH-less solutions are agreed to be further studied</w:t>
      </w:r>
      <w:r w:rsidR="0052396E">
        <w:rPr>
          <w:bCs/>
        </w:rPr>
        <w:t xml:space="preserve"> on last meeting</w:t>
      </w:r>
      <w:r>
        <w:rPr>
          <w:bCs/>
        </w:rPr>
        <w:t>. In our opinion, RACH-based solution is a baseline whose reliability and accuracy can be guaranteed</w:t>
      </w:r>
      <w:r w:rsidR="00C01C13">
        <w:rPr>
          <w:bCs/>
        </w:rPr>
        <w:t xml:space="preserve">. </w:t>
      </w:r>
      <w:r w:rsidR="00A310D3">
        <w:rPr>
          <w:bCs/>
        </w:rPr>
        <w:t xml:space="preserve">And </w:t>
      </w:r>
      <w:r w:rsidR="00C01C13">
        <w:rPr>
          <w:bCs/>
        </w:rPr>
        <w:t>RACH-based solution also covers much wider TA range than RACH-less solution. T</w:t>
      </w:r>
      <w:r>
        <w:rPr>
          <w:bCs/>
        </w:rPr>
        <w:t xml:space="preserve">herefore RACH-based solution should be supported. Considering the latency of RACH procedure, RACH-less solution may be a good complement since its latency can be much lower than RACH procedure. </w:t>
      </w:r>
      <w:r w:rsidR="0052396E">
        <w:rPr>
          <w:bCs/>
        </w:rPr>
        <w:t>Based on the analysis above</w:t>
      </w:r>
      <w:r>
        <w:rPr>
          <w:bCs/>
        </w:rPr>
        <w:t>, we propose that</w:t>
      </w:r>
      <w:r w:rsidR="001F3A73">
        <w:rPr>
          <w:bCs/>
        </w:rPr>
        <w:t>:</w:t>
      </w:r>
    </w:p>
    <w:p w14:paraId="1E755813" w14:textId="133DCC0B" w:rsidR="001D43D5" w:rsidRPr="001D43D5" w:rsidRDefault="001D43D5" w:rsidP="001D43D5">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9" w:name="_Hlk117687080"/>
      <w:r>
        <w:rPr>
          <w:i/>
          <w:iCs/>
          <w:lang w:eastAsia="zh-CN"/>
        </w:rPr>
        <w:t>Support at least RACH-based solution for TA acquisition of candidates cells.</w:t>
      </w:r>
    </w:p>
    <w:bookmarkEnd w:id="9"/>
    <w:p w14:paraId="2DC93512" w14:textId="37F29CAA" w:rsidR="00425DD3" w:rsidRPr="00FF6425" w:rsidRDefault="001D43D5" w:rsidP="00FF6425">
      <w:pPr>
        <w:spacing w:after="0"/>
        <w:rPr>
          <w:bCs/>
          <w:lang w:eastAsia="zh-CN"/>
        </w:rPr>
      </w:pPr>
      <w:r>
        <w:rPr>
          <w:bCs/>
          <w:lang w:val="sv-SE" w:eastAsia="zh-CN"/>
        </w:rPr>
        <w:lastRenderedPageBreak/>
        <w:t>In last meeting, it is agreed to support T</w:t>
      </w:r>
      <w:r w:rsidR="00F31A8B" w:rsidRPr="00FF6425">
        <w:rPr>
          <w:bCs/>
          <w:lang w:eastAsia="zh-CN"/>
        </w:rPr>
        <w:t>A</w:t>
      </w:r>
      <w:r>
        <w:rPr>
          <w:bCs/>
          <w:lang w:eastAsia="zh-CN"/>
        </w:rPr>
        <w:t xml:space="preserve"> acquisition of the candidate cells before </w:t>
      </w:r>
      <w:r w:rsidR="009B1416">
        <w:rPr>
          <w:bCs/>
          <w:lang w:eastAsia="zh-CN"/>
        </w:rPr>
        <w:t>cell switch command is received in L1/L2 based mobility.</w:t>
      </w:r>
      <w:bookmarkEnd w:id="8"/>
      <w:r w:rsidR="009B1416">
        <w:rPr>
          <w:bCs/>
          <w:lang w:eastAsia="zh-CN"/>
        </w:rPr>
        <w:t xml:space="preserve"> As we mentioned above, RACH-based solution can be used to acquire TA for candidate cells</w:t>
      </w:r>
      <w:r w:rsidR="00AA139D">
        <w:rPr>
          <w:bCs/>
          <w:lang w:eastAsia="zh-CN"/>
        </w:rPr>
        <w:t>.</w:t>
      </w:r>
      <w:r w:rsidR="009B1416">
        <w:rPr>
          <w:bCs/>
          <w:lang w:eastAsia="zh-CN"/>
        </w:rPr>
        <w:t xml:space="preserve"> However, PRACH configuration </w:t>
      </w:r>
      <w:r w:rsidR="0052396E">
        <w:rPr>
          <w:bCs/>
          <w:lang w:eastAsia="zh-CN"/>
        </w:rPr>
        <w:t>is configured only for</w:t>
      </w:r>
      <w:r w:rsidR="009B1416">
        <w:rPr>
          <w:bCs/>
          <w:lang w:eastAsia="zh-CN"/>
        </w:rPr>
        <w:t xml:space="preserve"> the serving cell</w:t>
      </w:r>
      <w:r w:rsidR="00E96451">
        <w:rPr>
          <w:bCs/>
          <w:lang w:eastAsia="zh-CN"/>
        </w:rPr>
        <w:t xml:space="preserve"> in </w:t>
      </w:r>
      <w:r w:rsidR="00FC783E">
        <w:rPr>
          <w:bCs/>
          <w:lang w:eastAsia="zh-CN"/>
        </w:rPr>
        <w:t xml:space="preserve">the </w:t>
      </w:r>
      <w:r w:rsidR="00E96451">
        <w:rPr>
          <w:bCs/>
          <w:lang w:eastAsia="zh-CN"/>
        </w:rPr>
        <w:t>legacy</w:t>
      </w:r>
      <w:r w:rsidR="00FC783E">
        <w:rPr>
          <w:bCs/>
          <w:lang w:eastAsia="zh-CN"/>
        </w:rPr>
        <w:t xml:space="preserve"> system</w:t>
      </w:r>
      <w:r w:rsidR="00E96451">
        <w:rPr>
          <w:bCs/>
          <w:lang w:eastAsia="zh-CN"/>
        </w:rPr>
        <w:t xml:space="preserve"> since the SSB resources associated with PRACH resources are </w:t>
      </w:r>
      <w:r w:rsidR="00FC783E">
        <w:rPr>
          <w:bCs/>
          <w:lang w:eastAsia="zh-CN"/>
        </w:rPr>
        <w:t xml:space="preserve">only configured for </w:t>
      </w:r>
      <w:r w:rsidR="00E96451">
        <w:rPr>
          <w:bCs/>
          <w:lang w:eastAsia="zh-CN"/>
        </w:rPr>
        <w:t xml:space="preserve">the serving cell. </w:t>
      </w:r>
      <w:proofErr w:type="gramStart"/>
      <w:r w:rsidR="00E96451">
        <w:rPr>
          <w:bCs/>
          <w:lang w:eastAsia="zh-CN"/>
        </w:rPr>
        <w:t>In order to</w:t>
      </w:r>
      <w:proofErr w:type="gramEnd"/>
      <w:r w:rsidR="00E96451">
        <w:rPr>
          <w:bCs/>
          <w:lang w:eastAsia="zh-CN"/>
        </w:rPr>
        <w:t xml:space="preserve"> obtain TA for the candidate cells</w:t>
      </w:r>
      <w:r w:rsidR="00F052F8">
        <w:rPr>
          <w:bCs/>
          <w:lang w:eastAsia="zh-CN"/>
        </w:rPr>
        <w:t xml:space="preserve">, additional PRACH resources should be configured for candidate cells, where the additional PRACH resources are associated with SSBs </w:t>
      </w:r>
      <w:r w:rsidR="00D551D0">
        <w:rPr>
          <w:bCs/>
          <w:lang w:eastAsia="zh-CN"/>
        </w:rPr>
        <w:t xml:space="preserve">configured </w:t>
      </w:r>
      <w:r w:rsidR="00F052F8">
        <w:rPr>
          <w:bCs/>
          <w:lang w:eastAsia="zh-CN"/>
        </w:rPr>
        <w:t>in the candidate cells. Besides, for legacy PRACH transmission triggered by</w:t>
      </w:r>
      <w:r w:rsidR="006E65B4">
        <w:rPr>
          <w:bCs/>
          <w:lang w:eastAsia="zh-CN"/>
        </w:rPr>
        <w:t xml:space="preserve"> a</w:t>
      </w:r>
      <w:r w:rsidR="00F052F8">
        <w:rPr>
          <w:bCs/>
          <w:lang w:eastAsia="zh-CN"/>
        </w:rPr>
        <w:t xml:space="preserve"> PDCCH order, a</w:t>
      </w:r>
      <w:r w:rsidR="00FE7DCF">
        <w:rPr>
          <w:bCs/>
          <w:lang w:eastAsia="zh-CN"/>
        </w:rPr>
        <w:t>n</w:t>
      </w:r>
      <w:r w:rsidR="00F052F8">
        <w:rPr>
          <w:bCs/>
          <w:lang w:eastAsia="zh-CN"/>
        </w:rPr>
        <w:t xml:space="preserve"> SSB index</w:t>
      </w:r>
      <w:r w:rsidR="006E65B4">
        <w:rPr>
          <w:bCs/>
          <w:lang w:eastAsia="zh-CN"/>
        </w:rPr>
        <w:t xml:space="preserve"> and a PRACH resource</w:t>
      </w:r>
      <w:r w:rsidR="00F052F8">
        <w:rPr>
          <w:bCs/>
          <w:lang w:eastAsia="zh-CN"/>
        </w:rPr>
        <w:t xml:space="preserve"> </w:t>
      </w:r>
      <w:r w:rsidR="00D551D0">
        <w:rPr>
          <w:bCs/>
          <w:lang w:eastAsia="zh-CN"/>
        </w:rPr>
        <w:t>are</w:t>
      </w:r>
      <w:r w:rsidR="00F052F8">
        <w:rPr>
          <w:bCs/>
          <w:lang w:eastAsia="zh-CN"/>
        </w:rPr>
        <w:t xml:space="preserve"> indicated by the PDCCH order</w:t>
      </w:r>
      <w:r w:rsidR="006E65B4">
        <w:rPr>
          <w:bCs/>
          <w:lang w:eastAsia="zh-CN"/>
        </w:rPr>
        <w:t>. And the</w:t>
      </w:r>
      <w:r w:rsidR="000732E2">
        <w:rPr>
          <w:bCs/>
          <w:lang w:eastAsia="zh-CN"/>
        </w:rPr>
        <w:t xml:space="preserve"> SSB resource</w:t>
      </w:r>
      <w:r w:rsidR="006E65B4">
        <w:rPr>
          <w:bCs/>
          <w:lang w:eastAsia="zh-CN"/>
        </w:rPr>
        <w:t xml:space="preserve"> and the PRACH resource indicated by the PDCCH order are </w:t>
      </w:r>
      <w:proofErr w:type="gramStart"/>
      <w:r w:rsidR="006E65B4">
        <w:rPr>
          <w:bCs/>
          <w:lang w:eastAsia="zh-CN"/>
        </w:rPr>
        <w:t>both  configured</w:t>
      </w:r>
      <w:proofErr w:type="gramEnd"/>
      <w:r w:rsidR="006E65B4">
        <w:rPr>
          <w:bCs/>
          <w:lang w:eastAsia="zh-CN"/>
        </w:rPr>
        <w:t xml:space="preserve"> </w:t>
      </w:r>
      <w:r w:rsidR="000732E2">
        <w:rPr>
          <w:bCs/>
          <w:lang w:eastAsia="zh-CN"/>
        </w:rPr>
        <w:t>in the serving cell</w:t>
      </w:r>
      <w:r w:rsidR="006E65B4">
        <w:rPr>
          <w:bCs/>
          <w:lang w:eastAsia="zh-CN"/>
        </w:rPr>
        <w:t xml:space="preserve">, </w:t>
      </w:r>
      <w:r w:rsidR="00D551D0">
        <w:rPr>
          <w:bCs/>
          <w:lang w:eastAsia="zh-CN"/>
        </w:rPr>
        <w:t>therefore,</w:t>
      </w:r>
      <w:r w:rsidR="006E65B4">
        <w:rPr>
          <w:bCs/>
          <w:lang w:eastAsia="zh-CN"/>
        </w:rPr>
        <w:t xml:space="preserve"> </w:t>
      </w:r>
      <w:r w:rsidR="00C3381A">
        <w:rPr>
          <w:bCs/>
          <w:lang w:eastAsia="zh-CN"/>
        </w:rPr>
        <w:t>the</w:t>
      </w:r>
      <w:r w:rsidR="006E65B4">
        <w:rPr>
          <w:bCs/>
          <w:lang w:eastAsia="zh-CN"/>
        </w:rPr>
        <w:t xml:space="preserve"> PRACH resource is </w:t>
      </w:r>
      <w:r w:rsidR="00D551D0">
        <w:rPr>
          <w:bCs/>
          <w:lang w:eastAsia="zh-CN"/>
        </w:rPr>
        <w:t xml:space="preserve">always </w:t>
      </w:r>
      <w:r w:rsidR="006E65B4">
        <w:rPr>
          <w:bCs/>
          <w:lang w:eastAsia="zh-CN"/>
        </w:rPr>
        <w:t>selected from</w:t>
      </w:r>
      <w:r w:rsidR="00C3381A">
        <w:rPr>
          <w:bCs/>
          <w:lang w:eastAsia="zh-CN"/>
        </w:rPr>
        <w:t xml:space="preserve"> PRACH configuration associated with the serving cell</w:t>
      </w:r>
      <w:r w:rsidR="00D551D0">
        <w:rPr>
          <w:bCs/>
          <w:lang w:eastAsia="zh-CN"/>
        </w:rPr>
        <w:t xml:space="preserve"> in the legacy specification</w:t>
      </w:r>
      <w:r w:rsidR="000732E2">
        <w:rPr>
          <w:bCs/>
          <w:lang w:eastAsia="zh-CN"/>
        </w:rPr>
        <w:t xml:space="preserve">. </w:t>
      </w:r>
      <w:r w:rsidR="00C3381A">
        <w:rPr>
          <w:bCs/>
          <w:lang w:eastAsia="zh-CN"/>
        </w:rPr>
        <w:t>However</w:t>
      </w:r>
      <w:r w:rsidR="000732E2">
        <w:rPr>
          <w:bCs/>
          <w:lang w:eastAsia="zh-CN"/>
        </w:rPr>
        <w:t xml:space="preserve">, </w:t>
      </w:r>
      <w:proofErr w:type="gramStart"/>
      <w:r w:rsidR="000732E2">
        <w:rPr>
          <w:bCs/>
          <w:lang w:eastAsia="zh-CN"/>
        </w:rPr>
        <w:t>in order to</w:t>
      </w:r>
      <w:proofErr w:type="gramEnd"/>
      <w:r w:rsidR="000732E2">
        <w:rPr>
          <w:bCs/>
          <w:lang w:eastAsia="zh-CN"/>
        </w:rPr>
        <w:t xml:space="preserve"> be able to trigger PRACH transmission by </w:t>
      </w:r>
      <w:r w:rsidR="00D551D0">
        <w:rPr>
          <w:bCs/>
          <w:lang w:eastAsia="zh-CN"/>
        </w:rPr>
        <w:t xml:space="preserve">a </w:t>
      </w:r>
      <w:r w:rsidR="00C3381A">
        <w:rPr>
          <w:bCs/>
          <w:lang w:eastAsia="zh-CN"/>
        </w:rPr>
        <w:t>PDCCH order</w:t>
      </w:r>
      <w:r w:rsidR="000732E2">
        <w:rPr>
          <w:bCs/>
          <w:lang w:eastAsia="zh-CN"/>
        </w:rPr>
        <w:t xml:space="preserve"> for </w:t>
      </w:r>
      <w:r w:rsidR="006E65B4">
        <w:rPr>
          <w:bCs/>
          <w:lang w:eastAsia="zh-CN"/>
        </w:rPr>
        <w:t xml:space="preserve">TA acquisition of </w:t>
      </w:r>
      <w:r w:rsidR="000732E2">
        <w:rPr>
          <w:bCs/>
          <w:lang w:eastAsia="zh-CN"/>
        </w:rPr>
        <w:t>a candidate cell</w:t>
      </w:r>
      <w:r w:rsidR="00D551D0">
        <w:rPr>
          <w:bCs/>
          <w:lang w:eastAsia="zh-CN"/>
        </w:rPr>
        <w:t xml:space="preserve"> before cell switch command</w:t>
      </w:r>
      <w:r w:rsidR="000732E2">
        <w:rPr>
          <w:bCs/>
          <w:lang w:eastAsia="zh-CN"/>
        </w:rPr>
        <w:t>,</w:t>
      </w:r>
      <w:r w:rsidR="00C3381A">
        <w:rPr>
          <w:bCs/>
          <w:lang w:eastAsia="zh-CN"/>
        </w:rPr>
        <w:t xml:space="preserve"> enhancement is needed for PDCCH order</w:t>
      </w:r>
      <w:r w:rsidR="00CD49E9">
        <w:rPr>
          <w:bCs/>
          <w:lang w:eastAsia="zh-CN"/>
        </w:rPr>
        <w:t>. With the enhancement, then</w:t>
      </w:r>
      <w:r w:rsidR="00C3381A">
        <w:rPr>
          <w:bCs/>
          <w:lang w:eastAsia="zh-CN"/>
        </w:rPr>
        <w:t xml:space="preserve"> the PRACH resource indicated by the PDCCH order </w:t>
      </w:r>
      <w:r w:rsidR="00CD49E9">
        <w:rPr>
          <w:bCs/>
          <w:lang w:eastAsia="zh-CN"/>
        </w:rPr>
        <w:t>can</w:t>
      </w:r>
      <w:r w:rsidR="00C3381A">
        <w:rPr>
          <w:bCs/>
          <w:lang w:eastAsia="zh-CN"/>
        </w:rPr>
        <w:t xml:space="preserve"> be </w:t>
      </w:r>
      <w:r w:rsidR="00D551D0">
        <w:rPr>
          <w:bCs/>
          <w:lang w:eastAsia="zh-CN"/>
        </w:rPr>
        <w:t>associated with</w:t>
      </w:r>
      <w:r w:rsidR="00C3381A">
        <w:rPr>
          <w:bCs/>
          <w:lang w:eastAsia="zh-CN"/>
        </w:rPr>
        <w:t xml:space="preserve"> PRACH configuration configured for serving cell</w:t>
      </w:r>
      <w:r w:rsidR="00D551D0">
        <w:rPr>
          <w:bCs/>
          <w:lang w:eastAsia="zh-CN"/>
        </w:rPr>
        <w:t xml:space="preserve"> or PRACH configuration configured for</w:t>
      </w:r>
      <w:r w:rsidR="00C3381A">
        <w:rPr>
          <w:bCs/>
          <w:lang w:eastAsia="zh-CN"/>
        </w:rPr>
        <w:t xml:space="preserve"> candidate cells. For example, the reserved </w:t>
      </w:r>
      <w:r w:rsidR="001F3A73">
        <w:rPr>
          <w:bCs/>
          <w:lang w:eastAsia="zh-CN"/>
        </w:rPr>
        <w:t xml:space="preserve">bits </w:t>
      </w:r>
      <w:r w:rsidR="00CD49E9">
        <w:rPr>
          <w:bCs/>
          <w:lang w:eastAsia="zh-CN"/>
        </w:rPr>
        <w:t xml:space="preserve">of </w:t>
      </w:r>
      <w:r w:rsidR="006E65B4">
        <w:rPr>
          <w:bCs/>
          <w:lang w:eastAsia="zh-CN"/>
        </w:rPr>
        <w:t xml:space="preserve">a </w:t>
      </w:r>
      <w:r w:rsidR="00CD49E9">
        <w:rPr>
          <w:bCs/>
          <w:lang w:eastAsia="zh-CN"/>
        </w:rPr>
        <w:t xml:space="preserve">PDCCH order </w:t>
      </w:r>
      <w:r w:rsidR="007470EA">
        <w:rPr>
          <w:bCs/>
          <w:lang w:eastAsia="zh-CN"/>
        </w:rPr>
        <w:t xml:space="preserve">can be used </w:t>
      </w:r>
      <w:r w:rsidR="001F3A73">
        <w:rPr>
          <w:bCs/>
          <w:lang w:eastAsia="zh-CN"/>
        </w:rPr>
        <w:t xml:space="preserve">to indicate </w:t>
      </w:r>
      <w:r w:rsidR="004B7C0C">
        <w:rPr>
          <w:bCs/>
          <w:lang w:eastAsia="zh-CN"/>
        </w:rPr>
        <w:t xml:space="preserve">which </w:t>
      </w:r>
      <w:r w:rsidR="00CD49E9">
        <w:rPr>
          <w:bCs/>
          <w:lang w:eastAsia="zh-CN"/>
        </w:rPr>
        <w:t xml:space="preserve">PRACH resource </w:t>
      </w:r>
      <w:r w:rsidR="004B7C0C">
        <w:rPr>
          <w:bCs/>
          <w:lang w:eastAsia="zh-CN"/>
        </w:rPr>
        <w:t xml:space="preserve">(as </w:t>
      </w:r>
      <w:r w:rsidR="00CD49E9">
        <w:rPr>
          <w:bCs/>
          <w:lang w:eastAsia="zh-CN"/>
        </w:rPr>
        <w:t xml:space="preserve">indicated by </w:t>
      </w:r>
      <w:r w:rsidR="006E65B4">
        <w:rPr>
          <w:bCs/>
          <w:lang w:eastAsia="zh-CN"/>
        </w:rPr>
        <w:t>the</w:t>
      </w:r>
      <w:r w:rsidR="00CD49E9">
        <w:rPr>
          <w:bCs/>
          <w:lang w:eastAsia="zh-CN"/>
        </w:rPr>
        <w:t xml:space="preserve"> PDCCH order</w:t>
      </w:r>
      <w:r w:rsidR="004B7C0C">
        <w:rPr>
          <w:bCs/>
          <w:lang w:eastAsia="zh-CN"/>
        </w:rPr>
        <w:t>)</w:t>
      </w:r>
      <w:r w:rsidR="00CD49E9">
        <w:rPr>
          <w:bCs/>
          <w:lang w:eastAsia="zh-CN"/>
        </w:rPr>
        <w:t xml:space="preserve"> is associated with </w:t>
      </w:r>
      <w:r w:rsidR="001F3A73">
        <w:rPr>
          <w:bCs/>
          <w:lang w:eastAsia="zh-CN"/>
        </w:rPr>
        <w:t xml:space="preserve">which </w:t>
      </w:r>
      <w:r w:rsidR="00CD49E9">
        <w:rPr>
          <w:bCs/>
          <w:lang w:eastAsia="zh-CN"/>
        </w:rPr>
        <w:t xml:space="preserve">of </w:t>
      </w:r>
      <w:r w:rsidR="004B7C0C">
        <w:rPr>
          <w:bCs/>
          <w:lang w:eastAsia="zh-CN"/>
        </w:rPr>
        <w:t xml:space="preserve">the </w:t>
      </w:r>
      <w:r w:rsidR="00CD49E9">
        <w:rPr>
          <w:bCs/>
          <w:lang w:eastAsia="zh-CN"/>
        </w:rPr>
        <w:t xml:space="preserve">PRACH configurations configured for serving cell </w:t>
      </w:r>
      <w:r w:rsidR="004B7C0C">
        <w:rPr>
          <w:bCs/>
          <w:lang w:eastAsia="zh-CN"/>
        </w:rPr>
        <w:t xml:space="preserve">or </w:t>
      </w:r>
      <w:r w:rsidR="00CD49E9">
        <w:rPr>
          <w:bCs/>
          <w:lang w:eastAsia="zh-CN"/>
        </w:rPr>
        <w:t>candidate cells</w:t>
      </w:r>
      <w:r w:rsidR="001F3A73">
        <w:rPr>
          <w:bCs/>
          <w:lang w:eastAsia="zh-CN"/>
        </w:rPr>
        <w:t>. Based on the analysis above, we propose that:</w:t>
      </w:r>
    </w:p>
    <w:p w14:paraId="01FCA559" w14:textId="3F00ECFE" w:rsidR="001103CD" w:rsidRDefault="001F3A73" w:rsidP="0030606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0" w:name="_Toc115098540"/>
      <w:bookmarkStart w:id="11" w:name="_Toc115098561"/>
      <w:bookmarkStart w:id="12" w:name="_Toc115183362"/>
      <w:r>
        <w:rPr>
          <w:rFonts w:cstheme="minorHAnsi"/>
          <w:bCs w:val="0"/>
          <w:i/>
          <w:iCs/>
          <w:lang w:val="en-US" w:eastAsia="zh-CN"/>
        </w:rPr>
        <w:t>Support additional PRACH configurations for the candidate cells</w:t>
      </w:r>
      <w:r w:rsidR="00BB4AF0">
        <w:rPr>
          <w:rFonts w:cstheme="minorHAnsi"/>
          <w:bCs w:val="0"/>
          <w:i/>
          <w:iCs/>
          <w:lang w:val="en-US" w:eastAsia="zh-CN"/>
        </w:rPr>
        <w:t>.</w:t>
      </w:r>
      <w:bookmarkEnd w:id="10"/>
      <w:bookmarkEnd w:id="11"/>
      <w:bookmarkEnd w:id="12"/>
    </w:p>
    <w:p w14:paraId="2190B4CD" w14:textId="47083817" w:rsidR="001F3A73" w:rsidRPr="0030606C" w:rsidRDefault="00FC783E" w:rsidP="0030606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r>
        <w:rPr>
          <w:rFonts w:cstheme="minorHAnsi"/>
          <w:bCs w:val="0"/>
          <w:i/>
          <w:iCs/>
          <w:lang w:val="en-US" w:eastAsia="zh-CN"/>
        </w:rPr>
        <w:t>E</w:t>
      </w:r>
      <w:r w:rsidR="001F3A73">
        <w:rPr>
          <w:rFonts w:cstheme="minorHAnsi"/>
          <w:bCs w:val="0"/>
          <w:i/>
          <w:iCs/>
          <w:lang w:val="en-US" w:eastAsia="zh-CN"/>
        </w:rPr>
        <w:t>nhance PDCCH order triggered RACH for TA acquisition for candidate cells.</w:t>
      </w: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529E7DAD" w14:textId="77777777" w:rsidR="001F3A73" w:rsidRDefault="00337B1E" w:rsidP="00337B1E">
      <w:pPr>
        <w:pStyle w:val="Proposal"/>
        <w:tabs>
          <w:tab w:val="clear" w:pos="1701"/>
          <w:tab w:val="num" w:pos="4004"/>
        </w:tabs>
        <w:spacing w:before="0" w:after="160" w:line="256" w:lineRule="auto"/>
        <w:jc w:val="both"/>
        <w:rPr>
          <w:i/>
          <w:iCs/>
          <w:lang w:eastAsia="zh-CN"/>
        </w:rPr>
      </w:pPr>
      <w:r>
        <w:rPr>
          <w:rFonts w:cstheme="minorHAnsi"/>
          <w:bCs w:val="0"/>
          <w:i/>
          <w:iCs/>
          <w:lang w:val="en-US" w:eastAsia="zh-CN"/>
        </w:rPr>
        <w:t xml:space="preserve">Proposal </w:t>
      </w:r>
      <w:r w:rsidR="001F3A73">
        <w:rPr>
          <w:rFonts w:cstheme="minorHAnsi"/>
          <w:bCs w:val="0"/>
          <w:i/>
          <w:iCs/>
          <w:lang w:val="en-US" w:eastAsia="zh-CN"/>
        </w:rPr>
        <w:t>1</w:t>
      </w:r>
      <w:r>
        <w:rPr>
          <w:rFonts w:cstheme="minorHAnsi"/>
          <w:bCs w:val="0"/>
          <w:i/>
          <w:iCs/>
          <w:lang w:val="en-US" w:eastAsia="zh-CN"/>
        </w:rPr>
        <w:t xml:space="preserve">: </w:t>
      </w:r>
      <w:r w:rsidR="001F3A73">
        <w:rPr>
          <w:rFonts w:cstheme="minorHAnsi"/>
          <w:bCs w:val="0"/>
          <w:i/>
          <w:iCs/>
          <w:lang w:val="en-US" w:eastAsia="zh-CN"/>
        </w:rPr>
        <w:t>S</w:t>
      </w:r>
      <w:r w:rsidR="001F3A73">
        <w:rPr>
          <w:i/>
          <w:iCs/>
          <w:lang w:eastAsia="zh-CN"/>
        </w:rPr>
        <w:t>upport to associate TAG and candidate cell explicitly.</w:t>
      </w:r>
    </w:p>
    <w:p w14:paraId="1B8CC79C" w14:textId="77777777" w:rsidR="001F3A73" w:rsidRDefault="001F3A73"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2: </w:t>
      </w:r>
      <w:r w:rsidRPr="001F3A73">
        <w:rPr>
          <w:rFonts w:cstheme="minorHAnsi"/>
          <w:bCs w:val="0"/>
          <w:i/>
          <w:iCs/>
          <w:lang w:eastAsia="zh-CN"/>
        </w:rPr>
        <w:t>Support at least RACH-based solution for TA acquisition of candidates cells.</w:t>
      </w:r>
    </w:p>
    <w:p w14:paraId="2D037A15" w14:textId="77777777" w:rsidR="001F3A73" w:rsidRDefault="001F3A73" w:rsidP="00337B1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eastAsia="zh-CN"/>
        </w:rPr>
        <w:t xml:space="preserve">Proposal 3: </w:t>
      </w:r>
      <w:r>
        <w:rPr>
          <w:rFonts w:cstheme="minorHAnsi"/>
          <w:bCs w:val="0"/>
          <w:i/>
          <w:iCs/>
          <w:lang w:val="en-US" w:eastAsia="zh-CN"/>
        </w:rPr>
        <w:t>Support additional PRACH configurations for the candidate cells.</w:t>
      </w:r>
    </w:p>
    <w:p w14:paraId="5E13286B" w14:textId="215CA1E0" w:rsidR="00DC51DA" w:rsidRPr="00FB784E"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4: </w:t>
      </w:r>
      <w:r w:rsidR="00A310D3">
        <w:rPr>
          <w:rFonts w:cstheme="minorHAnsi"/>
          <w:bCs w:val="0"/>
          <w:i/>
          <w:iCs/>
          <w:lang w:val="en-US" w:eastAsia="zh-CN"/>
        </w:rPr>
        <w:t>E</w:t>
      </w:r>
      <w:r>
        <w:rPr>
          <w:rFonts w:cstheme="minorHAnsi"/>
          <w:bCs w:val="0"/>
          <w:i/>
          <w:iCs/>
          <w:lang w:val="en-US" w:eastAsia="zh-CN"/>
        </w:rPr>
        <w:t>nhance PDCCH order triggered RACH for TA acquisition for candidate cells</w:t>
      </w:r>
      <w:r w:rsidR="00337B1E">
        <w:rPr>
          <w:rFonts w:cstheme="minorHAnsi"/>
          <w:bCs w:val="0"/>
          <w:i/>
          <w:iCs/>
          <w:lang w:val="en-US" w:eastAsia="zh-CN"/>
        </w:rPr>
        <w:t>.</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2BF2D9BA" w:rsidR="00A46D1D" w:rsidRDefault="00A46D1D" w:rsidP="00A46D1D">
      <w:pPr>
        <w:numPr>
          <w:ilvl w:val="0"/>
          <w:numId w:val="8"/>
        </w:numPr>
        <w:overflowPunct w:val="0"/>
        <w:snapToGrid/>
        <w:spacing w:before="100" w:beforeAutospacing="1" w:after="100" w:afterAutospacing="1"/>
        <w:jc w:val="left"/>
        <w:textAlignment w:val="baseline"/>
      </w:pPr>
      <w:bookmarkStart w:id="13" w:name="_Ref101488189"/>
      <w:r w:rsidRPr="00890FF3">
        <w:t>RP-</w:t>
      </w:r>
      <w:r>
        <w:t xml:space="preserve">213598 </w:t>
      </w:r>
      <w:r w:rsidRPr="00D55C80">
        <w:t>New WID: MIMO Evolution for Downlink and Uplink</w:t>
      </w:r>
      <w:r>
        <w:t>.</w:t>
      </w:r>
      <w:bookmarkEnd w:id="13"/>
      <w:r>
        <w:t xml:space="preserve"> </w:t>
      </w:r>
    </w:p>
    <w:p w14:paraId="1E977190" w14:textId="0971AC41"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1F3A73">
        <w:rPr>
          <w:lang w:eastAsia="zh-CN"/>
        </w:rPr>
        <w:t>0b-</w:t>
      </w:r>
      <w:r>
        <w:rPr>
          <w:lang w:eastAsia="zh-CN"/>
        </w:rPr>
        <w:t>e</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BA9D6" w14:textId="77777777" w:rsidR="005E4061" w:rsidRDefault="005E4061">
      <w:r>
        <w:separator/>
      </w:r>
    </w:p>
  </w:endnote>
  <w:endnote w:type="continuationSeparator" w:id="0">
    <w:p w14:paraId="30C4E701" w14:textId="77777777" w:rsidR="005E4061" w:rsidRDefault="005E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DAF3" w14:textId="77777777" w:rsidR="005E4061" w:rsidRDefault="005E4061">
      <w:r>
        <w:separator/>
      </w:r>
    </w:p>
  </w:footnote>
  <w:footnote w:type="continuationSeparator" w:id="0">
    <w:p w14:paraId="0749A070" w14:textId="77777777" w:rsidR="005E4061" w:rsidRDefault="005E4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4"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43"/>
  </w:num>
  <w:num w:numId="3">
    <w:abstractNumId w:val="40"/>
  </w:num>
  <w:num w:numId="4">
    <w:abstractNumId w:val="16"/>
  </w:num>
  <w:num w:numId="5">
    <w:abstractNumId w:val="2"/>
  </w:num>
  <w:num w:numId="6">
    <w:abstractNumId w:val="30"/>
  </w:num>
  <w:num w:numId="7">
    <w:abstractNumId w:val="3"/>
  </w:num>
  <w:num w:numId="8">
    <w:abstractNumId w:val="0"/>
  </w:num>
  <w:num w:numId="9">
    <w:abstractNumId w:val="19"/>
  </w:num>
  <w:num w:numId="10">
    <w:abstractNumId w:val="42"/>
  </w:num>
  <w:num w:numId="11">
    <w:abstractNumId w:val="41"/>
  </w:num>
  <w:num w:numId="12">
    <w:abstractNumId w:val="31"/>
  </w:num>
  <w:num w:numId="13">
    <w:abstractNumId w:val="7"/>
  </w:num>
  <w:num w:numId="14">
    <w:abstractNumId w:val="26"/>
  </w:num>
  <w:num w:numId="15">
    <w:abstractNumId w:val="9"/>
  </w:num>
  <w:num w:numId="16">
    <w:abstractNumId w:val="35"/>
  </w:num>
  <w:num w:numId="17">
    <w:abstractNumId w:val="24"/>
  </w:num>
  <w:num w:numId="18">
    <w:abstractNumId w:val="8"/>
  </w:num>
  <w:num w:numId="19">
    <w:abstractNumId w:val="11"/>
  </w:num>
  <w:num w:numId="20">
    <w:abstractNumId w:val="1"/>
  </w:num>
  <w:num w:numId="21">
    <w:abstractNumId w:val="10"/>
  </w:num>
  <w:num w:numId="22">
    <w:abstractNumId w:val="38"/>
  </w:num>
  <w:num w:numId="23">
    <w:abstractNumId w:val="20"/>
  </w:num>
  <w:num w:numId="24">
    <w:abstractNumId w:val="5"/>
  </w:num>
  <w:num w:numId="25">
    <w:abstractNumId w:val="37"/>
  </w:num>
  <w:num w:numId="26">
    <w:abstractNumId w:val="36"/>
  </w:num>
  <w:num w:numId="27">
    <w:abstractNumId w:val="25"/>
  </w:num>
  <w:num w:numId="28">
    <w:abstractNumId w:val="44"/>
  </w:num>
  <w:num w:numId="29">
    <w:abstractNumId w:val="27"/>
  </w:num>
  <w:num w:numId="30">
    <w:abstractNumId w:val="17"/>
  </w:num>
  <w:num w:numId="31">
    <w:abstractNumId w:val="22"/>
  </w:num>
  <w:num w:numId="32">
    <w:abstractNumId w:val="32"/>
  </w:num>
  <w:num w:numId="33">
    <w:abstractNumId w:val="13"/>
  </w:num>
  <w:num w:numId="34">
    <w:abstractNumId w:val="4"/>
  </w:num>
  <w:num w:numId="35">
    <w:abstractNumId w:val="15"/>
  </w:num>
  <w:num w:numId="36">
    <w:abstractNumId w:val="12"/>
  </w:num>
  <w:num w:numId="37">
    <w:abstractNumId w:val="34"/>
  </w:num>
  <w:num w:numId="38">
    <w:abstractNumId w:val="14"/>
  </w:num>
  <w:num w:numId="39">
    <w:abstractNumId w:val="28"/>
  </w:num>
  <w:num w:numId="40">
    <w:abstractNumId w:val="6"/>
  </w:num>
  <w:num w:numId="41">
    <w:abstractNumId w:val="33"/>
  </w:num>
  <w:num w:numId="42">
    <w:abstractNumId w:val="39"/>
  </w:num>
  <w:num w:numId="43">
    <w:abstractNumId w:val="39"/>
  </w:num>
  <w:num w:numId="44">
    <w:abstractNumId w:val="21"/>
  </w:num>
  <w:num w:numId="45">
    <w:abstractNumId w:val="29"/>
  </w:num>
  <w:num w:numId="4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B6F"/>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84E"/>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42"/>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2</cp:revision>
  <cp:lastPrinted>2015-04-01T01:56:00Z</cp:lastPrinted>
  <dcterms:created xsi:type="dcterms:W3CDTF">2022-11-04T02:29:00Z</dcterms:created>
  <dcterms:modified xsi:type="dcterms:W3CDTF">2022-11-04T02:29:00Z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